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600</w:t>
      </w:r>
      <w:r>
        <w:rPr>
          <w:rFonts w:hint="eastAsia" w:ascii="仿宋" w:hAnsi="仿宋" w:eastAsia="仿宋" w:cs="仿宋"/>
          <w:spacing w:val="-1"/>
          <w:sz w:val="52"/>
          <w:szCs w:val="52"/>
          <w14:textOutline w14:w="6096" w14:cap="flat" w14:cmpd="sng">
            <w14:solidFill>
              <w14:srgbClr w14:val="000000"/>
            </w14:solidFill>
            <w14:prstDash w14:val="solid"/>
            <w14:miter w14:val="0"/>
          </w14:textOutline>
        </w:rPr>
        <w:t>吨</w:t>
      </w: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干白酒糟</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SKY-CG-GBJZ-20250814</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600吨干白酒糟</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600吨干白酒糟</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20C72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茅台镇酱干白酒糟</w:t>
      </w:r>
    </w:p>
    <w:p w14:paraId="33B0EB6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感</w:t>
      </w:r>
      <w:r>
        <w:rPr>
          <w:rFonts w:hint="eastAsia" w:asciiTheme="minorEastAsia" w:hAnsiTheme="minorEastAsia" w:eastAsiaTheme="minorEastAsia" w:cstheme="minorEastAsia"/>
          <w:b/>
          <w:sz w:val="21"/>
          <w:szCs w:val="21"/>
          <w:lang w:val="en-US" w:eastAsia="zh-CN"/>
        </w:rPr>
        <w:t>观</w:t>
      </w:r>
      <w:r>
        <w:rPr>
          <w:rFonts w:hint="eastAsia" w:asciiTheme="minorEastAsia" w:hAnsiTheme="minorEastAsia" w:eastAsiaTheme="minorEastAsia" w:cstheme="minorEastAsia"/>
          <w:b/>
          <w:sz w:val="21"/>
          <w:szCs w:val="21"/>
        </w:rPr>
        <w:t>指</w:t>
      </w:r>
      <w:r>
        <w:rPr>
          <w:rFonts w:hint="eastAsia" w:asciiTheme="minorEastAsia" w:hAnsiTheme="minorEastAsia" w:eastAsiaTheme="minorEastAsia" w:cstheme="minorEastAsia"/>
          <w:b/>
          <w:sz w:val="21"/>
          <w:szCs w:val="21"/>
          <w:lang w:val="en-US" w:eastAsia="zh-CN"/>
        </w:rPr>
        <w:t>标</w:t>
      </w:r>
    </w:p>
    <w:p w14:paraId="2BC9F3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ind w:firstLine="420" w:firstLineChars="200"/>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以茅台</w:t>
      </w:r>
      <w:r>
        <w:rPr>
          <w:rFonts w:hint="eastAsia" w:asciiTheme="minorEastAsia" w:hAnsiTheme="minorEastAsia" w:eastAsiaTheme="minorEastAsia" w:cstheme="minorEastAsia"/>
          <w:sz w:val="21"/>
          <w:szCs w:val="21"/>
          <w:lang w:val="en-US" w:eastAsia="zh-CN"/>
        </w:rPr>
        <w:t>镇</w:t>
      </w:r>
      <w:r>
        <w:rPr>
          <w:rFonts w:hint="eastAsia" w:asciiTheme="minorEastAsia" w:hAnsiTheme="minorEastAsia" w:eastAsiaTheme="minorEastAsia" w:cstheme="minorEastAsia"/>
          <w:sz w:val="21"/>
          <w:szCs w:val="21"/>
        </w:rPr>
        <w:t>酒糟为原料，通过</w:t>
      </w:r>
      <w:r>
        <w:rPr>
          <w:rFonts w:hint="eastAsia" w:asciiTheme="minorEastAsia" w:hAnsiTheme="minorEastAsia" w:eastAsiaTheme="minorEastAsia" w:cstheme="minorEastAsia"/>
          <w:sz w:val="21"/>
          <w:szCs w:val="21"/>
          <w:lang w:val="en-US" w:eastAsia="zh-CN"/>
        </w:rPr>
        <w:t>发酵、</w:t>
      </w:r>
      <w:r>
        <w:rPr>
          <w:rFonts w:hint="eastAsia" w:asciiTheme="minorEastAsia" w:hAnsiTheme="minorEastAsia" w:eastAsiaTheme="minorEastAsia" w:cstheme="minorEastAsia"/>
          <w:sz w:val="21"/>
          <w:szCs w:val="21"/>
        </w:rPr>
        <w:t>干燥工艺技术精制而成</w:t>
      </w:r>
      <w:r>
        <w:rPr>
          <w:rFonts w:hint="eastAsia" w:asciiTheme="minorEastAsia" w:hAnsiTheme="minorEastAsia" w:eastAsiaTheme="minorEastAsia" w:cstheme="minorEastAsia"/>
          <w:sz w:val="21"/>
          <w:szCs w:val="21"/>
          <w:lang w:eastAsia="zh-CN"/>
        </w:rPr>
        <w:t>，产品呈棕色或棕褐色粉末状，有独特的糟香，无异臭味，无结块，无发霉变质。</w:t>
      </w:r>
    </w:p>
    <w:p w14:paraId="2142657D">
      <w:pPr>
        <w:keepNext w:val="0"/>
        <w:keepLines w:val="0"/>
        <w:pageBreakBefore w:val="0"/>
        <w:widowControl/>
        <w:kinsoku w:val="0"/>
        <w:wordWrap/>
        <w:overflowPunct/>
        <w:topLinePunct w:val="0"/>
        <w:autoSpaceDE w:val="0"/>
        <w:autoSpaceDN w:val="0"/>
        <w:bidi w:val="0"/>
        <w:adjustRightInd w:val="0"/>
        <w:snapToGrid w:val="0"/>
        <w:spacing w:before="2" w:line="360" w:lineRule="auto"/>
        <w:ind w:right="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9"/>
        <w:gridCol w:w="3869"/>
        <w:gridCol w:w="1983"/>
        <w:gridCol w:w="1877"/>
        <w:gridCol w:w="1211"/>
      </w:tblGrid>
      <w:tr w14:paraId="7DDB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1DEF38B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 目</w:t>
            </w:r>
          </w:p>
        </w:tc>
        <w:tc>
          <w:tcPr>
            <w:tcW w:w="1983" w:type="dxa"/>
            <w:noWrap w:val="0"/>
            <w:vAlign w:val="center"/>
          </w:tcPr>
          <w:p w14:paraId="5E32553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标准值</w:t>
            </w:r>
          </w:p>
        </w:tc>
        <w:tc>
          <w:tcPr>
            <w:tcW w:w="1877" w:type="dxa"/>
            <w:vMerge w:val="restart"/>
            <w:noWrap w:val="0"/>
            <w:vAlign w:val="center"/>
          </w:tcPr>
          <w:p w14:paraId="62BC9DE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退货值</w:t>
            </w:r>
          </w:p>
        </w:tc>
        <w:tc>
          <w:tcPr>
            <w:tcW w:w="1211" w:type="dxa"/>
            <w:vMerge w:val="restart"/>
            <w:noWrap w:val="0"/>
            <w:vAlign w:val="center"/>
          </w:tcPr>
          <w:p w14:paraId="322EECE0">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检测要求</w:t>
            </w:r>
          </w:p>
        </w:tc>
      </w:tr>
      <w:tr w14:paraId="0D0D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0B92BCB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983" w:type="dxa"/>
            <w:noWrap w:val="0"/>
            <w:vAlign w:val="center"/>
          </w:tcPr>
          <w:p w14:paraId="1784C7A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二级</w:t>
            </w:r>
          </w:p>
        </w:tc>
        <w:tc>
          <w:tcPr>
            <w:tcW w:w="1877" w:type="dxa"/>
            <w:vMerge w:val="continue"/>
            <w:noWrap w:val="0"/>
            <w:vAlign w:val="center"/>
          </w:tcPr>
          <w:p w14:paraId="3B3F925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211" w:type="dxa"/>
            <w:vMerge w:val="continue"/>
            <w:noWrap w:val="0"/>
            <w:vAlign w:val="center"/>
          </w:tcPr>
          <w:p w14:paraId="0E69F7F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r>
      <w:tr w14:paraId="6892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79" w:type="dxa"/>
            <w:vMerge w:val="restart"/>
            <w:noWrap w:val="0"/>
            <w:vAlign w:val="center"/>
          </w:tcPr>
          <w:p w14:paraId="60F90B7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风险指标</w:t>
            </w:r>
          </w:p>
        </w:tc>
        <w:tc>
          <w:tcPr>
            <w:tcW w:w="3869" w:type="dxa"/>
            <w:noWrap w:val="0"/>
            <w:vAlign w:val="center"/>
          </w:tcPr>
          <w:p w14:paraId="603FBBF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三聚氰胺（mg/kg)</w:t>
            </w:r>
          </w:p>
        </w:tc>
        <w:tc>
          <w:tcPr>
            <w:tcW w:w="1983" w:type="dxa"/>
            <w:noWrap w:val="0"/>
            <w:vAlign w:val="center"/>
          </w:tcPr>
          <w:p w14:paraId="335C6A3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877" w:type="dxa"/>
            <w:noWrap w:val="0"/>
            <w:vAlign w:val="center"/>
          </w:tcPr>
          <w:p w14:paraId="431120C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211" w:type="dxa"/>
            <w:noWrap w:val="0"/>
            <w:vAlign w:val="center"/>
          </w:tcPr>
          <w:p w14:paraId="4577C5C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5A74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79" w:type="dxa"/>
            <w:vMerge w:val="continue"/>
            <w:noWrap w:val="0"/>
            <w:vAlign w:val="center"/>
          </w:tcPr>
          <w:p w14:paraId="4DA080D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5D5A90F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黄曲霉毒素（μg/kg）</w:t>
            </w:r>
          </w:p>
        </w:tc>
        <w:tc>
          <w:tcPr>
            <w:tcW w:w="1983" w:type="dxa"/>
            <w:noWrap w:val="0"/>
            <w:vAlign w:val="center"/>
          </w:tcPr>
          <w:p w14:paraId="5540C79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877" w:type="dxa"/>
            <w:noWrap w:val="0"/>
            <w:vAlign w:val="center"/>
          </w:tcPr>
          <w:p w14:paraId="51740DD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211" w:type="dxa"/>
            <w:noWrap w:val="0"/>
            <w:vAlign w:val="center"/>
          </w:tcPr>
          <w:p w14:paraId="23153E6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542F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79" w:type="dxa"/>
            <w:vMerge w:val="continue"/>
            <w:noWrap w:val="0"/>
            <w:vAlign w:val="center"/>
          </w:tcPr>
          <w:p w14:paraId="610E1C7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09172C5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玉米赤霉烯酮（μg/kg)</w:t>
            </w:r>
          </w:p>
        </w:tc>
        <w:tc>
          <w:tcPr>
            <w:tcW w:w="1983" w:type="dxa"/>
            <w:noWrap w:val="0"/>
            <w:vAlign w:val="center"/>
          </w:tcPr>
          <w:p w14:paraId="65EA313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≤500</w:t>
            </w:r>
          </w:p>
        </w:tc>
        <w:tc>
          <w:tcPr>
            <w:tcW w:w="1877" w:type="dxa"/>
            <w:noWrap w:val="0"/>
            <w:vAlign w:val="center"/>
          </w:tcPr>
          <w:p w14:paraId="5E1AD10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＞500</w:t>
            </w:r>
          </w:p>
        </w:tc>
        <w:tc>
          <w:tcPr>
            <w:tcW w:w="1211" w:type="dxa"/>
            <w:noWrap w:val="0"/>
            <w:vAlign w:val="center"/>
          </w:tcPr>
          <w:p w14:paraId="0C55956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2D1F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79" w:type="dxa"/>
            <w:vMerge w:val="continue"/>
            <w:noWrap w:val="0"/>
            <w:vAlign w:val="center"/>
          </w:tcPr>
          <w:p w14:paraId="7495202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5E03BD8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脱氧雪腐镰刀菌烯醇（呕吐毒素）（μg/kg)</w:t>
            </w:r>
          </w:p>
        </w:tc>
        <w:tc>
          <w:tcPr>
            <w:tcW w:w="1983" w:type="dxa"/>
            <w:noWrap w:val="0"/>
            <w:vAlign w:val="center"/>
          </w:tcPr>
          <w:p w14:paraId="2805D8C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≤3000</w:t>
            </w:r>
          </w:p>
        </w:tc>
        <w:tc>
          <w:tcPr>
            <w:tcW w:w="1877" w:type="dxa"/>
            <w:noWrap w:val="0"/>
            <w:vAlign w:val="center"/>
          </w:tcPr>
          <w:p w14:paraId="05CC934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＞3000</w:t>
            </w:r>
          </w:p>
        </w:tc>
        <w:tc>
          <w:tcPr>
            <w:tcW w:w="1211" w:type="dxa"/>
            <w:noWrap w:val="0"/>
            <w:vAlign w:val="center"/>
          </w:tcPr>
          <w:p w14:paraId="01285AE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2584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79" w:type="dxa"/>
            <w:vMerge w:val="restart"/>
            <w:noWrap w:val="0"/>
            <w:vAlign w:val="center"/>
          </w:tcPr>
          <w:p w14:paraId="48493D4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理化指标</w:t>
            </w:r>
          </w:p>
        </w:tc>
        <w:tc>
          <w:tcPr>
            <w:tcW w:w="3869" w:type="dxa"/>
            <w:shd w:val="clear" w:color="auto" w:fill="auto"/>
            <w:noWrap w:val="0"/>
            <w:vAlign w:val="center"/>
          </w:tcPr>
          <w:p w14:paraId="4883D805">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水分，%</w:t>
            </w:r>
          </w:p>
        </w:tc>
        <w:tc>
          <w:tcPr>
            <w:tcW w:w="1983" w:type="dxa"/>
            <w:shd w:val="clear" w:color="auto" w:fill="auto"/>
            <w:noWrap w:val="0"/>
            <w:vAlign w:val="center"/>
          </w:tcPr>
          <w:p w14:paraId="79F1C2E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≤12</w:t>
            </w:r>
          </w:p>
        </w:tc>
        <w:tc>
          <w:tcPr>
            <w:tcW w:w="1877" w:type="dxa"/>
            <w:noWrap w:val="0"/>
            <w:vAlign w:val="center"/>
          </w:tcPr>
          <w:p w14:paraId="3A9F8CB4">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＞12.0</w:t>
            </w:r>
          </w:p>
        </w:tc>
        <w:tc>
          <w:tcPr>
            <w:tcW w:w="1211" w:type="dxa"/>
            <w:noWrap w:val="0"/>
            <w:vAlign w:val="center"/>
          </w:tcPr>
          <w:p w14:paraId="5C113CE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1D92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79" w:type="dxa"/>
            <w:vMerge w:val="continue"/>
            <w:noWrap w:val="0"/>
            <w:vAlign w:val="center"/>
          </w:tcPr>
          <w:p w14:paraId="51E3F7F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09D9271F">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粗蛋白，%</w:t>
            </w:r>
          </w:p>
        </w:tc>
        <w:tc>
          <w:tcPr>
            <w:tcW w:w="1983" w:type="dxa"/>
            <w:shd w:val="clear" w:color="auto" w:fill="auto"/>
            <w:noWrap w:val="0"/>
            <w:vAlign w:val="center"/>
          </w:tcPr>
          <w:p w14:paraId="7F10CC8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877" w:type="dxa"/>
            <w:noWrap w:val="0"/>
            <w:vAlign w:val="center"/>
          </w:tcPr>
          <w:p w14:paraId="4A8A3BF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211" w:type="dxa"/>
            <w:noWrap w:val="0"/>
            <w:vAlign w:val="center"/>
          </w:tcPr>
          <w:p w14:paraId="47A06FB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4D9C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979" w:type="dxa"/>
            <w:vMerge w:val="continue"/>
            <w:noWrap w:val="0"/>
            <w:vAlign w:val="center"/>
          </w:tcPr>
          <w:p w14:paraId="56F738A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6798AFF1">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粗脂肪%</w:t>
            </w:r>
          </w:p>
        </w:tc>
        <w:tc>
          <w:tcPr>
            <w:tcW w:w="1983" w:type="dxa"/>
            <w:shd w:val="clear" w:color="auto" w:fill="auto"/>
            <w:noWrap w:val="0"/>
            <w:vAlign w:val="center"/>
          </w:tcPr>
          <w:p w14:paraId="4DD3D46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≥4</w:t>
            </w:r>
          </w:p>
        </w:tc>
        <w:tc>
          <w:tcPr>
            <w:tcW w:w="1877" w:type="dxa"/>
            <w:noWrap w:val="0"/>
            <w:vAlign w:val="center"/>
          </w:tcPr>
          <w:p w14:paraId="0931FE2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＜4</w:t>
            </w:r>
          </w:p>
        </w:tc>
        <w:tc>
          <w:tcPr>
            <w:tcW w:w="1211" w:type="dxa"/>
            <w:noWrap w:val="0"/>
            <w:vAlign w:val="center"/>
          </w:tcPr>
          <w:p w14:paraId="185968E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0A95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79" w:type="dxa"/>
            <w:vMerge w:val="continue"/>
            <w:noWrap w:val="0"/>
            <w:vAlign w:val="center"/>
          </w:tcPr>
          <w:p w14:paraId="40EA594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7DA933E0">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粗纤维，%</w:t>
            </w:r>
          </w:p>
        </w:tc>
        <w:tc>
          <w:tcPr>
            <w:tcW w:w="1983" w:type="dxa"/>
            <w:shd w:val="clear" w:color="auto" w:fill="auto"/>
            <w:noWrap w:val="0"/>
            <w:vAlign w:val="center"/>
          </w:tcPr>
          <w:p w14:paraId="6687A8F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≤18</w:t>
            </w:r>
          </w:p>
        </w:tc>
        <w:tc>
          <w:tcPr>
            <w:tcW w:w="1877" w:type="dxa"/>
            <w:noWrap w:val="0"/>
            <w:vAlign w:val="center"/>
          </w:tcPr>
          <w:p w14:paraId="7DB43D6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＞18</w:t>
            </w:r>
          </w:p>
        </w:tc>
        <w:tc>
          <w:tcPr>
            <w:tcW w:w="1211" w:type="dxa"/>
            <w:noWrap w:val="0"/>
            <w:vAlign w:val="center"/>
          </w:tcPr>
          <w:p w14:paraId="4BEDBD2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04F1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79" w:type="dxa"/>
            <w:vMerge w:val="continue"/>
            <w:noWrap w:val="0"/>
            <w:vAlign w:val="center"/>
          </w:tcPr>
          <w:p w14:paraId="487FCC1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4B2FCE50">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粗灰分，%</w:t>
            </w:r>
          </w:p>
        </w:tc>
        <w:tc>
          <w:tcPr>
            <w:tcW w:w="1983" w:type="dxa"/>
            <w:shd w:val="clear" w:color="auto" w:fill="auto"/>
            <w:noWrap w:val="0"/>
            <w:vAlign w:val="center"/>
          </w:tcPr>
          <w:p w14:paraId="741AFFE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877" w:type="dxa"/>
            <w:noWrap w:val="0"/>
            <w:vAlign w:val="center"/>
          </w:tcPr>
          <w:p w14:paraId="79F3B35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＞11</w:t>
            </w:r>
          </w:p>
        </w:tc>
        <w:tc>
          <w:tcPr>
            <w:tcW w:w="1211" w:type="dxa"/>
            <w:noWrap w:val="0"/>
            <w:vAlign w:val="center"/>
          </w:tcPr>
          <w:p w14:paraId="27E0D0F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bl>
    <w:p w14:paraId="0EA096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标签标识</w:t>
      </w:r>
      <w:r>
        <w:rPr>
          <w:rFonts w:hint="eastAsia" w:asciiTheme="minorEastAsia" w:hAnsiTheme="minorEastAsia" w:eastAsiaTheme="minorEastAsia" w:cstheme="minorEastAsia"/>
          <w:b/>
          <w:sz w:val="21"/>
          <w:szCs w:val="21"/>
          <w:lang w:eastAsia="zh-CN"/>
        </w:rPr>
        <w:t>：</w:t>
      </w:r>
    </w:p>
    <w:p w14:paraId="61AF12D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标签标识符合 GB 10648-2013中相关要求。</w:t>
      </w:r>
    </w:p>
    <w:p w14:paraId="4A9573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right="0" w:rightChars="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4、包装、运输和储存</w:t>
      </w:r>
    </w:p>
    <w:p w14:paraId="2032D35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bookmarkStart w:id="0" w:name="_GoBack"/>
      <w:bookmarkEnd w:id="0"/>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FB028B"/>
    <w:rsid w:val="4E864704"/>
    <w:rsid w:val="4F62730B"/>
    <w:rsid w:val="53252A3D"/>
    <w:rsid w:val="5558042C"/>
    <w:rsid w:val="5767239A"/>
    <w:rsid w:val="59270DD1"/>
    <w:rsid w:val="5DCE03EE"/>
    <w:rsid w:val="5E711347"/>
    <w:rsid w:val="5E9577E4"/>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1956</Words>
  <Characters>2168</Characters>
  <TotalTime>3</TotalTime>
  <ScaleCrop>false</ScaleCrop>
  <LinksUpToDate>false</LinksUpToDate>
  <CharactersWithSpaces>3179</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2025-08-07T02:12:02Z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