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105928F2">
      <w:pPr>
        <w:spacing w:before="156" w:line="366" w:lineRule="auto"/>
        <w:ind w:left="1966" w:right="713" w:hanging="1221"/>
        <w:jc w:val="center"/>
        <w:rPr>
          <w:rFonts w:ascii="仿宋" w:hAnsi="仿宋" w:eastAsia="仿宋" w:cs="仿宋"/>
          <w:sz w:val="48"/>
          <w:szCs w:val="48"/>
          <w14:textOutline w14:w="6096" w14:cap="flat" w14:cmpd="sng">
            <w14:solidFill>
              <w14:srgbClr w14:val="000000"/>
            </w14:solidFill>
            <w14:prstDash w14:val="solid"/>
            <w14:miter w14:val="0"/>
          </w14:textOutline>
        </w:rPr>
      </w:pPr>
      <w:r>
        <w:rPr>
          <w:rFonts w:ascii="仿宋" w:hAnsi="仿宋" w:eastAsia="仿宋" w:cs="仿宋"/>
          <w:spacing w:val="-1"/>
          <w:sz w:val="48"/>
          <w:szCs w:val="48"/>
          <w14:textOutline w14:w="6096" w14:cap="flat" w14:cmpd="sng">
            <w14:solidFill>
              <w14:srgbClr w14:val="000000"/>
            </w14:solidFill>
            <w14:prstDash w14:val="solid"/>
            <w14:miter w14:val="0"/>
          </w14:textOutline>
        </w:rPr>
        <w:t>甘肃</w:t>
      </w:r>
      <w:r>
        <w:rPr>
          <w:rFonts w:hint="eastAsia" w:ascii="仿宋" w:hAnsi="仿宋" w:eastAsia="仿宋" w:cs="仿宋"/>
          <w:spacing w:val="-1"/>
          <w:sz w:val="48"/>
          <w:szCs w:val="48"/>
          <w:lang w:val="en-US" w:eastAsia="zh-CN"/>
          <w14:textOutline w14:w="6096" w14:cap="flat" w14:cmpd="sng">
            <w14:solidFill>
              <w14:srgbClr w14:val="000000"/>
            </w14:solidFill>
            <w14:prstDash w14:val="solid"/>
            <w14:miter w14:val="0"/>
          </w14:textOutline>
        </w:rPr>
        <w:t>前进牧业</w:t>
      </w:r>
      <w:r>
        <w:rPr>
          <w:rFonts w:ascii="仿宋" w:hAnsi="仿宋" w:eastAsia="仿宋" w:cs="仿宋"/>
          <w:spacing w:val="-1"/>
          <w:sz w:val="48"/>
          <w:szCs w:val="48"/>
          <w14:textOutline w14:w="6096" w14:cap="flat" w14:cmpd="sng">
            <w14:solidFill>
              <w14:srgbClr w14:val="000000"/>
            </w14:solidFill>
            <w14:prstDash w14:val="solid"/>
            <w14:miter w14:val="0"/>
          </w14:textOutline>
        </w:rPr>
        <w:t>科</w:t>
      </w:r>
      <w:r>
        <w:rPr>
          <w:rFonts w:ascii="仿宋" w:hAnsi="仿宋" w:eastAsia="仿宋" w:cs="仿宋"/>
          <w:sz w:val="48"/>
          <w:szCs w:val="48"/>
          <w14:textOutline w14:w="6096" w14:cap="flat" w14:cmpd="sng">
            <w14:solidFill>
              <w14:srgbClr w14:val="000000"/>
            </w14:solidFill>
            <w14:prstDash w14:val="solid"/>
            <w14:miter w14:val="0"/>
          </w14:textOutline>
        </w:rPr>
        <w:t>技有限责任公司</w:t>
      </w:r>
    </w:p>
    <w:p w14:paraId="0246ECE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70吨小苏打</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817EC2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63605850">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QJKJ-CG-XSD-20250926</w:t>
      </w:r>
    </w:p>
    <w:p w14:paraId="4B872C54">
      <w:pPr>
        <w:spacing w:before="234" w:line="368" w:lineRule="auto"/>
        <w:ind w:left="1373" w:right="1070" w:hanging="38"/>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前进牧业</w:t>
      </w:r>
      <w:r>
        <w:rPr>
          <w:rFonts w:ascii="仿宋" w:hAnsi="仿宋" w:eastAsia="仿宋" w:cs="仿宋"/>
          <w:sz w:val="32"/>
          <w:szCs w:val="32"/>
          <w14:textOutline w14:w="4064" w14:cap="flat" w14:cmpd="sng">
            <w14:solidFill>
              <w14:srgbClr w14:val="000000"/>
            </w14:solidFill>
            <w14:prstDash w14:val="solid"/>
            <w14:miter w14:val="0"/>
          </w14:textOutline>
        </w:rPr>
        <w:t>科技有限责任公司</w:t>
      </w:r>
      <w:r>
        <w:rPr>
          <w:rFonts w:ascii="仿宋" w:hAnsi="仿宋" w:eastAsia="仿宋" w:cs="仿宋"/>
          <w:sz w:val="32"/>
          <w:szCs w:val="32"/>
        </w:rPr>
        <w:t xml:space="preserve"> </w:t>
      </w:r>
    </w:p>
    <w:p w14:paraId="7BFBDCEA">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F85B73D">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033"/>
        <w:gridCol w:w="6262"/>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033"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262"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033"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262"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033"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262" w:type="dxa"/>
            <w:vAlign w:val="center"/>
          </w:tcPr>
          <w:p w14:paraId="3E06102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70吨小苏打</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033"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262"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eastAsia="zh-CN"/>
              </w:rPr>
              <w:t>（</w:t>
            </w:r>
            <w:r>
              <w:rPr>
                <w:rFonts w:hint="eastAsia" w:ascii="仿宋" w:hAnsi="仿宋" w:eastAsia="仿宋" w:cs="仿宋"/>
                <w:sz w:val="24"/>
                <w:szCs w:val="24"/>
                <w:vertAlign w:val="baseline"/>
                <w:lang w:val="en-US" w:eastAsia="zh-CN"/>
              </w:rPr>
              <w:t>包含甘州区石岗墩开发区、高台县</w:t>
            </w:r>
            <w:r>
              <w:rPr>
                <w:rFonts w:hint="eastAsia" w:ascii="仿宋" w:hAnsi="仿宋" w:eastAsia="仿宋" w:cs="仿宋"/>
                <w:spacing w:val="-5"/>
                <w:sz w:val="24"/>
                <w:szCs w:val="24"/>
                <w:lang w:eastAsia="zh-CN"/>
              </w:rPr>
              <w:t>）</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033"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262"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033"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262"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70吨小苏打</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033"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262"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033"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262"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26</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bookmarkStart w:id="1" w:name="_GoBack"/>
            <w:bookmarkEnd w:id="1"/>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033"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262"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033"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262"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30D21D20">
      <w:pPr>
        <w:spacing w:line="235" w:lineRule="exact"/>
      </w:pPr>
    </w:p>
    <w:p w14:paraId="321DF6C6">
      <w:pPr>
        <w:rPr>
          <w:rFonts w:ascii="Arial"/>
          <w:sz w:val="21"/>
        </w:rPr>
      </w:pPr>
    </w:p>
    <w:p w14:paraId="091E9A5C">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2"/>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360" w:lineRule="auto"/>
        <w:ind w:firstLine="3304" w:firstLineChars="700"/>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38C416DB">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rPr>
      </w:pPr>
      <w:r>
        <w:rPr>
          <w:rFonts w:hint="eastAsia" w:ascii="仿宋" w:hAnsi="仿宋" w:eastAsia="仿宋" w:cs="仿宋"/>
          <w:b/>
          <w:bCs/>
          <w:sz w:val="28"/>
          <w:szCs w:val="28"/>
        </w:rPr>
        <w:t>碳酸氢</w:t>
      </w:r>
      <w:r>
        <w:rPr>
          <w:rFonts w:hint="eastAsia" w:ascii="仿宋" w:hAnsi="仿宋" w:eastAsia="仿宋" w:cs="仿宋"/>
          <w:b/>
          <w:bCs/>
          <w:sz w:val="28"/>
          <w:szCs w:val="28"/>
          <w:lang w:val="en-US" w:eastAsia="zh-CN"/>
        </w:rPr>
        <w:t>钠</w:t>
      </w:r>
      <w:r>
        <w:rPr>
          <w:rFonts w:hint="eastAsia" w:ascii="仿宋" w:hAnsi="仿宋" w:eastAsia="仿宋" w:cs="仿宋"/>
          <w:b/>
          <w:bCs/>
          <w:sz w:val="28"/>
          <w:szCs w:val="28"/>
        </w:rPr>
        <w:t>（小苏打）</w:t>
      </w:r>
    </w:p>
    <w:p w14:paraId="018BD1A7">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1、感官指标</w:t>
      </w:r>
    </w:p>
    <w:p w14:paraId="74B64FE2">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bookmarkStart w:id="0" w:name="白色结晶性粉末，无味，无结块、易溶于水，不溶于乙醇，有碱味，口感较涩。"/>
      <w:bookmarkEnd w:id="0"/>
      <w:r>
        <w:rPr>
          <w:rFonts w:hint="eastAsia" w:ascii="仿宋" w:hAnsi="仿宋" w:eastAsia="仿宋" w:cs="仿宋"/>
          <w:b w:val="0"/>
          <w:bCs w:val="0"/>
          <w:sz w:val="24"/>
          <w:szCs w:val="24"/>
        </w:rPr>
        <w:t>白色结晶性粉末，无味，无结块、易溶于水，不溶于乙醇，有碱味，口感较涩。</w:t>
      </w:r>
    </w:p>
    <w:p w14:paraId="2B027F04">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2、技术指标</w:t>
      </w:r>
    </w:p>
    <w:tbl>
      <w:tblPr>
        <w:tblStyle w:val="4"/>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2893"/>
        <w:gridCol w:w="495"/>
        <w:gridCol w:w="1769"/>
        <w:gridCol w:w="1608"/>
        <w:gridCol w:w="1290"/>
      </w:tblGrid>
      <w:tr w14:paraId="6B68A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963" w:type="dxa"/>
            <w:gridSpan w:val="3"/>
            <w:vAlign w:val="center"/>
          </w:tcPr>
          <w:p w14:paraId="20B525FE">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项目</w:t>
            </w:r>
          </w:p>
        </w:tc>
        <w:tc>
          <w:tcPr>
            <w:tcW w:w="1769" w:type="dxa"/>
            <w:vAlign w:val="center"/>
          </w:tcPr>
          <w:p w14:paraId="4A7D6942">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指标</w:t>
            </w:r>
          </w:p>
        </w:tc>
        <w:tc>
          <w:tcPr>
            <w:tcW w:w="1608" w:type="dxa"/>
            <w:vAlign w:val="center"/>
          </w:tcPr>
          <w:p w14:paraId="2340FA39">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退货值</w:t>
            </w:r>
          </w:p>
        </w:tc>
        <w:tc>
          <w:tcPr>
            <w:tcW w:w="1290" w:type="dxa"/>
            <w:vAlign w:val="center"/>
          </w:tcPr>
          <w:p w14:paraId="6DA0EB27">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检验要求</w:t>
            </w:r>
          </w:p>
        </w:tc>
      </w:tr>
      <w:tr w14:paraId="0CF3D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restart"/>
            <w:vAlign w:val="center"/>
          </w:tcPr>
          <w:p w14:paraId="03508A3C">
            <w:pPr>
              <w:spacing w:after="0"/>
              <w:jc w:val="center"/>
              <w:rPr>
                <w:rFonts w:hint="eastAsia" w:ascii="仿宋" w:hAnsi="仿宋" w:eastAsia="仿宋" w:cs="仿宋"/>
                <w:b w:val="0"/>
                <w:bCs w:val="0"/>
                <w:sz w:val="24"/>
                <w:szCs w:val="24"/>
              </w:rPr>
            </w:pPr>
          </w:p>
          <w:p w14:paraId="237F17CD">
            <w:pPr>
              <w:spacing w:after="0"/>
              <w:jc w:val="center"/>
              <w:rPr>
                <w:rFonts w:hint="eastAsia" w:ascii="仿宋" w:hAnsi="仿宋" w:eastAsia="仿宋" w:cs="仿宋"/>
                <w:b w:val="0"/>
                <w:bCs w:val="0"/>
                <w:sz w:val="24"/>
                <w:szCs w:val="24"/>
              </w:rPr>
            </w:pPr>
          </w:p>
          <w:p w14:paraId="498FA419">
            <w:pPr>
              <w:spacing w:after="0"/>
              <w:jc w:val="center"/>
              <w:rPr>
                <w:rFonts w:hint="eastAsia" w:ascii="仿宋" w:hAnsi="仿宋" w:eastAsia="仿宋" w:cs="仿宋"/>
                <w:b w:val="0"/>
                <w:bCs w:val="0"/>
                <w:sz w:val="24"/>
                <w:szCs w:val="24"/>
              </w:rPr>
            </w:pPr>
          </w:p>
          <w:p w14:paraId="775831E8">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理化指标</w:t>
            </w:r>
          </w:p>
        </w:tc>
        <w:tc>
          <w:tcPr>
            <w:tcW w:w="2893" w:type="dxa"/>
            <w:tcBorders>
              <w:right w:val="nil"/>
            </w:tcBorders>
            <w:vAlign w:val="center"/>
          </w:tcPr>
          <w:p w14:paraId="183E895E">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水分（%）</w:t>
            </w:r>
          </w:p>
        </w:tc>
        <w:tc>
          <w:tcPr>
            <w:tcW w:w="495" w:type="dxa"/>
            <w:tcBorders>
              <w:left w:val="nil"/>
            </w:tcBorders>
            <w:vAlign w:val="center"/>
          </w:tcPr>
          <w:p w14:paraId="15FFFA1E">
            <w:pPr>
              <w:spacing w:after="0"/>
              <w:jc w:val="center"/>
              <w:rPr>
                <w:rFonts w:hint="eastAsia" w:ascii="仿宋" w:hAnsi="仿宋" w:eastAsia="仿宋" w:cs="仿宋"/>
                <w:b w:val="0"/>
                <w:bCs w:val="0"/>
                <w:sz w:val="24"/>
                <w:szCs w:val="24"/>
              </w:rPr>
            </w:pPr>
          </w:p>
        </w:tc>
        <w:tc>
          <w:tcPr>
            <w:tcW w:w="1769" w:type="dxa"/>
            <w:vAlign w:val="center"/>
          </w:tcPr>
          <w:p w14:paraId="4A903FB3">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≤0.20</w:t>
            </w:r>
          </w:p>
        </w:tc>
        <w:tc>
          <w:tcPr>
            <w:tcW w:w="1608" w:type="dxa"/>
            <w:vAlign w:val="center"/>
          </w:tcPr>
          <w:p w14:paraId="79F3FE64">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＞0.4</w:t>
            </w:r>
          </w:p>
        </w:tc>
        <w:tc>
          <w:tcPr>
            <w:tcW w:w="1290" w:type="dxa"/>
            <w:vAlign w:val="center"/>
          </w:tcPr>
          <w:p w14:paraId="07CCCB4A">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必检</w:t>
            </w:r>
          </w:p>
        </w:tc>
      </w:tr>
      <w:tr w14:paraId="1D372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05D611A8">
            <w:pPr>
              <w:spacing w:after="0"/>
              <w:jc w:val="center"/>
              <w:rPr>
                <w:rFonts w:hint="eastAsia" w:ascii="仿宋" w:hAnsi="仿宋" w:eastAsia="仿宋" w:cs="仿宋"/>
                <w:b w:val="0"/>
                <w:bCs w:val="0"/>
                <w:sz w:val="24"/>
                <w:szCs w:val="24"/>
              </w:rPr>
            </w:pPr>
          </w:p>
        </w:tc>
        <w:tc>
          <w:tcPr>
            <w:tcW w:w="2893" w:type="dxa"/>
            <w:tcBorders>
              <w:right w:val="nil"/>
            </w:tcBorders>
            <w:vAlign w:val="center"/>
          </w:tcPr>
          <w:p w14:paraId="40136F37">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总碱量（以 NaHCO3 计，%）</w:t>
            </w:r>
          </w:p>
        </w:tc>
        <w:tc>
          <w:tcPr>
            <w:tcW w:w="495" w:type="dxa"/>
            <w:tcBorders>
              <w:left w:val="nil"/>
            </w:tcBorders>
            <w:vAlign w:val="center"/>
          </w:tcPr>
          <w:p w14:paraId="02596E33">
            <w:pPr>
              <w:spacing w:after="0"/>
              <w:jc w:val="center"/>
              <w:rPr>
                <w:rFonts w:hint="eastAsia" w:ascii="仿宋" w:hAnsi="仿宋" w:eastAsia="仿宋" w:cs="仿宋"/>
                <w:b w:val="0"/>
                <w:bCs w:val="0"/>
                <w:sz w:val="24"/>
                <w:szCs w:val="24"/>
              </w:rPr>
            </w:pPr>
          </w:p>
        </w:tc>
        <w:tc>
          <w:tcPr>
            <w:tcW w:w="1769" w:type="dxa"/>
            <w:vAlign w:val="center"/>
          </w:tcPr>
          <w:p w14:paraId="7517434D">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≥99.0</w:t>
            </w:r>
          </w:p>
        </w:tc>
        <w:tc>
          <w:tcPr>
            <w:tcW w:w="1608" w:type="dxa"/>
            <w:vAlign w:val="center"/>
          </w:tcPr>
          <w:p w14:paraId="38586029">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＜98.0</w:t>
            </w:r>
          </w:p>
        </w:tc>
        <w:tc>
          <w:tcPr>
            <w:tcW w:w="1290" w:type="dxa"/>
            <w:vAlign w:val="center"/>
          </w:tcPr>
          <w:p w14:paraId="1AAB6DC1">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必检</w:t>
            </w:r>
          </w:p>
        </w:tc>
      </w:tr>
      <w:tr w14:paraId="28A52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30DD04F4">
            <w:pPr>
              <w:spacing w:after="0"/>
              <w:jc w:val="center"/>
              <w:rPr>
                <w:rFonts w:hint="eastAsia" w:ascii="仿宋" w:hAnsi="仿宋" w:eastAsia="仿宋" w:cs="仿宋"/>
                <w:b w:val="0"/>
                <w:bCs w:val="0"/>
                <w:sz w:val="24"/>
                <w:szCs w:val="24"/>
              </w:rPr>
            </w:pPr>
          </w:p>
        </w:tc>
        <w:tc>
          <w:tcPr>
            <w:tcW w:w="3388" w:type="dxa"/>
            <w:gridSpan w:val="2"/>
            <w:vAlign w:val="center"/>
          </w:tcPr>
          <w:p w14:paraId="57E4769D">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pH 值（10g/L 水溶液）</w:t>
            </w:r>
          </w:p>
        </w:tc>
        <w:tc>
          <w:tcPr>
            <w:tcW w:w="3377" w:type="dxa"/>
            <w:gridSpan w:val="2"/>
            <w:vAlign w:val="center"/>
          </w:tcPr>
          <w:p w14:paraId="63BBCF7C">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8.6</w:t>
            </w:r>
          </w:p>
        </w:tc>
        <w:tc>
          <w:tcPr>
            <w:tcW w:w="1290" w:type="dxa"/>
            <w:vAlign w:val="center"/>
          </w:tcPr>
          <w:p w14:paraId="574F5ED5">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必检</w:t>
            </w:r>
          </w:p>
        </w:tc>
      </w:tr>
      <w:tr w14:paraId="14265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575" w:type="dxa"/>
            <w:vMerge w:val="continue"/>
            <w:tcBorders>
              <w:top w:val="nil"/>
            </w:tcBorders>
            <w:vAlign w:val="center"/>
          </w:tcPr>
          <w:p w14:paraId="4410E109">
            <w:pPr>
              <w:spacing w:after="0"/>
              <w:jc w:val="center"/>
              <w:rPr>
                <w:rFonts w:hint="eastAsia" w:ascii="仿宋" w:hAnsi="仿宋" w:eastAsia="仿宋" w:cs="仿宋"/>
                <w:b w:val="0"/>
                <w:bCs w:val="0"/>
                <w:sz w:val="24"/>
                <w:szCs w:val="24"/>
              </w:rPr>
            </w:pPr>
          </w:p>
        </w:tc>
        <w:tc>
          <w:tcPr>
            <w:tcW w:w="3388" w:type="dxa"/>
            <w:gridSpan w:val="2"/>
            <w:vAlign w:val="center"/>
          </w:tcPr>
          <w:p w14:paraId="4A29C4E7">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铵盐（定性）</w:t>
            </w:r>
          </w:p>
        </w:tc>
        <w:tc>
          <w:tcPr>
            <w:tcW w:w="3377" w:type="dxa"/>
            <w:gridSpan w:val="2"/>
            <w:vAlign w:val="center"/>
          </w:tcPr>
          <w:p w14:paraId="0EDED8DE">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加热至沸腾过程中无氨味释放</w:t>
            </w:r>
          </w:p>
        </w:tc>
        <w:tc>
          <w:tcPr>
            <w:tcW w:w="1290" w:type="dxa"/>
            <w:vAlign w:val="center"/>
          </w:tcPr>
          <w:p w14:paraId="61B2AD66">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必检</w:t>
            </w:r>
          </w:p>
        </w:tc>
      </w:tr>
      <w:tr w14:paraId="472D0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restart"/>
            <w:vAlign w:val="center"/>
          </w:tcPr>
          <w:p w14:paraId="202795BD">
            <w:pPr>
              <w:spacing w:after="0"/>
              <w:jc w:val="center"/>
              <w:rPr>
                <w:rFonts w:hint="eastAsia" w:ascii="仿宋" w:hAnsi="仿宋" w:eastAsia="仿宋" w:cs="仿宋"/>
                <w:b w:val="0"/>
                <w:bCs w:val="0"/>
                <w:sz w:val="24"/>
                <w:szCs w:val="24"/>
              </w:rPr>
            </w:pPr>
          </w:p>
          <w:p w14:paraId="59B809B1">
            <w:pPr>
              <w:spacing w:after="0"/>
              <w:jc w:val="center"/>
              <w:rPr>
                <w:rFonts w:hint="eastAsia" w:ascii="仿宋" w:hAnsi="仿宋" w:eastAsia="仿宋" w:cs="仿宋"/>
                <w:b w:val="0"/>
                <w:bCs w:val="0"/>
                <w:sz w:val="24"/>
                <w:szCs w:val="24"/>
              </w:rPr>
            </w:pPr>
          </w:p>
          <w:p w14:paraId="744E49CF">
            <w:pPr>
              <w:spacing w:after="0"/>
              <w:jc w:val="center"/>
              <w:rPr>
                <w:rFonts w:hint="eastAsia" w:ascii="仿宋" w:hAnsi="仿宋" w:eastAsia="仿宋" w:cs="仿宋"/>
                <w:b w:val="0"/>
                <w:bCs w:val="0"/>
                <w:sz w:val="24"/>
                <w:szCs w:val="24"/>
              </w:rPr>
            </w:pPr>
          </w:p>
          <w:p w14:paraId="061102B2">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卫生指标</w:t>
            </w:r>
          </w:p>
        </w:tc>
        <w:tc>
          <w:tcPr>
            <w:tcW w:w="2893" w:type="dxa"/>
            <w:tcBorders>
              <w:right w:val="nil"/>
            </w:tcBorders>
            <w:vAlign w:val="center"/>
          </w:tcPr>
          <w:p w14:paraId="6B7AFC02">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砷（mg/kg</w:t>
            </w:r>
            <w:r>
              <w:rPr>
                <w:rFonts w:hint="eastAsia" w:ascii="仿宋" w:hAnsi="仿宋" w:eastAsia="仿宋" w:cs="仿宋"/>
                <w:b w:val="0"/>
                <w:bCs w:val="0"/>
                <w:sz w:val="24"/>
                <w:szCs w:val="24"/>
                <w:lang w:eastAsia="zh-CN"/>
              </w:rPr>
              <w:t>）</w:t>
            </w:r>
          </w:p>
        </w:tc>
        <w:tc>
          <w:tcPr>
            <w:tcW w:w="495" w:type="dxa"/>
            <w:tcBorders>
              <w:left w:val="nil"/>
            </w:tcBorders>
            <w:vAlign w:val="center"/>
          </w:tcPr>
          <w:p w14:paraId="24E381B2">
            <w:pPr>
              <w:spacing w:after="0"/>
              <w:jc w:val="center"/>
              <w:rPr>
                <w:rFonts w:hint="eastAsia" w:ascii="仿宋" w:hAnsi="仿宋" w:eastAsia="仿宋" w:cs="仿宋"/>
                <w:b w:val="0"/>
                <w:bCs w:val="0"/>
                <w:sz w:val="24"/>
                <w:szCs w:val="24"/>
              </w:rPr>
            </w:pPr>
          </w:p>
        </w:tc>
        <w:tc>
          <w:tcPr>
            <w:tcW w:w="3377" w:type="dxa"/>
            <w:gridSpan w:val="2"/>
            <w:vAlign w:val="center"/>
          </w:tcPr>
          <w:p w14:paraId="07FFD079">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≤1.0</w:t>
            </w:r>
          </w:p>
        </w:tc>
        <w:tc>
          <w:tcPr>
            <w:tcW w:w="1290" w:type="dxa"/>
            <w:vAlign w:val="center"/>
          </w:tcPr>
          <w:p w14:paraId="06F06B76">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抽检</w:t>
            </w:r>
          </w:p>
        </w:tc>
      </w:tr>
      <w:tr w14:paraId="4D890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105383F0">
            <w:pPr>
              <w:spacing w:after="0"/>
              <w:jc w:val="center"/>
              <w:rPr>
                <w:rFonts w:hint="eastAsia" w:ascii="仿宋" w:hAnsi="仿宋" w:eastAsia="仿宋" w:cs="仿宋"/>
                <w:b w:val="0"/>
                <w:bCs w:val="0"/>
                <w:sz w:val="24"/>
                <w:szCs w:val="24"/>
              </w:rPr>
            </w:pPr>
          </w:p>
        </w:tc>
        <w:tc>
          <w:tcPr>
            <w:tcW w:w="2893" w:type="dxa"/>
            <w:tcBorders>
              <w:right w:val="nil"/>
            </w:tcBorders>
            <w:vAlign w:val="center"/>
          </w:tcPr>
          <w:p w14:paraId="2826BE10">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铅（mg/kg</w:t>
            </w:r>
            <w:r>
              <w:rPr>
                <w:rFonts w:hint="eastAsia" w:ascii="仿宋" w:hAnsi="仿宋" w:eastAsia="仿宋" w:cs="仿宋"/>
                <w:b w:val="0"/>
                <w:bCs w:val="0"/>
                <w:sz w:val="24"/>
                <w:szCs w:val="24"/>
                <w:lang w:eastAsia="zh-CN"/>
              </w:rPr>
              <w:t>）</w:t>
            </w:r>
          </w:p>
        </w:tc>
        <w:tc>
          <w:tcPr>
            <w:tcW w:w="495" w:type="dxa"/>
            <w:tcBorders>
              <w:left w:val="nil"/>
            </w:tcBorders>
            <w:vAlign w:val="center"/>
          </w:tcPr>
          <w:p w14:paraId="1149DEED">
            <w:pPr>
              <w:spacing w:after="0"/>
              <w:jc w:val="center"/>
              <w:rPr>
                <w:rFonts w:hint="eastAsia" w:ascii="仿宋" w:hAnsi="仿宋" w:eastAsia="仿宋" w:cs="仿宋"/>
                <w:b w:val="0"/>
                <w:bCs w:val="0"/>
                <w:sz w:val="24"/>
                <w:szCs w:val="24"/>
              </w:rPr>
            </w:pPr>
          </w:p>
        </w:tc>
        <w:tc>
          <w:tcPr>
            <w:tcW w:w="3377" w:type="dxa"/>
            <w:gridSpan w:val="2"/>
            <w:vAlign w:val="center"/>
          </w:tcPr>
          <w:p w14:paraId="7EB948AD">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≤5.0</w:t>
            </w:r>
          </w:p>
        </w:tc>
        <w:tc>
          <w:tcPr>
            <w:tcW w:w="1290" w:type="dxa"/>
            <w:vAlign w:val="center"/>
          </w:tcPr>
          <w:p w14:paraId="56B8828F">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抽检</w:t>
            </w:r>
          </w:p>
        </w:tc>
      </w:tr>
      <w:tr w14:paraId="1BA06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689B40FF">
            <w:pPr>
              <w:spacing w:after="0"/>
              <w:jc w:val="center"/>
              <w:rPr>
                <w:rFonts w:hint="eastAsia" w:ascii="仿宋" w:hAnsi="仿宋" w:eastAsia="仿宋" w:cs="仿宋"/>
                <w:b w:val="0"/>
                <w:bCs w:val="0"/>
                <w:sz w:val="24"/>
                <w:szCs w:val="24"/>
              </w:rPr>
            </w:pPr>
          </w:p>
        </w:tc>
        <w:tc>
          <w:tcPr>
            <w:tcW w:w="2893" w:type="dxa"/>
            <w:tcBorders>
              <w:right w:val="nil"/>
            </w:tcBorders>
            <w:vAlign w:val="center"/>
          </w:tcPr>
          <w:p w14:paraId="7030942E">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铬（mg/kg</w:t>
            </w:r>
            <w:r>
              <w:rPr>
                <w:rFonts w:hint="eastAsia" w:ascii="仿宋" w:hAnsi="仿宋" w:eastAsia="仿宋" w:cs="仿宋"/>
                <w:b w:val="0"/>
                <w:bCs w:val="0"/>
                <w:sz w:val="24"/>
                <w:szCs w:val="24"/>
                <w:lang w:eastAsia="zh-CN"/>
              </w:rPr>
              <w:t>）</w:t>
            </w:r>
          </w:p>
        </w:tc>
        <w:tc>
          <w:tcPr>
            <w:tcW w:w="495" w:type="dxa"/>
            <w:tcBorders>
              <w:left w:val="nil"/>
            </w:tcBorders>
            <w:vAlign w:val="center"/>
          </w:tcPr>
          <w:p w14:paraId="68410FBB">
            <w:pPr>
              <w:spacing w:after="0"/>
              <w:jc w:val="center"/>
              <w:rPr>
                <w:rFonts w:hint="eastAsia" w:ascii="仿宋" w:hAnsi="仿宋" w:eastAsia="仿宋" w:cs="仿宋"/>
                <w:b w:val="0"/>
                <w:bCs w:val="0"/>
                <w:sz w:val="24"/>
                <w:szCs w:val="24"/>
              </w:rPr>
            </w:pPr>
          </w:p>
        </w:tc>
        <w:tc>
          <w:tcPr>
            <w:tcW w:w="3377" w:type="dxa"/>
            <w:gridSpan w:val="2"/>
            <w:vAlign w:val="center"/>
          </w:tcPr>
          <w:p w14:paraId="79E7171B">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≤2.0</w:t>
            </w:r>
          </w:p>
        </w:tc>
        <w:tc>
          <w:tcPr>
            <w:tcW w:w="1290" w:type="dxa"/>
            <w:vAlign w:val="center"/>
          </w:tcPr>
          <w:p w14:paraId="4F05F0E9">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抽检</w:t>
            </w:r>
          </w:p>
        </w:tc>
      </w:tr>
      <w:tr w14:paraId="01970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739B2391">
            <w:pPr>
              <w:spacing w:after="0"/>
              <w:jc w:val="center"/>
              <w:rPr>
                <w:rFonts w:hint="eastAsia" w:ascii="仿宋" w:hAnsi="仿宋" w:eastAsia="仿宋" w:cs="仿宋"/>
                <w:b w:val="0"/>
                <w:bCs w:val="0"/>
                <w:sz w:val="24"/>
                <w:szCs w:val="24"/>
              </w:rPr>
            </w:pPr>
          </w:p>
        </w:tc>
        <w:tc>
          <w:tcPr>
            <w:tcW w:w="8055" w:type="dxa"/>
            <w:gridSpan w:val="5"/>
            <w:vAlign w:val="center"/>
          </w:tcPr>
          <w:p w14:paraId="516081F4">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其他卫生指标执行 GB13078-2017 规定标准</w:t>
            </w:r>
          </w:p>
        </w:tc>
      </w:tr>
      <w:tr w14:paraId="5D18B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9630" w:type="dxa"/>
            <w:gridSpan w:val="6"/>
            <w:vAlign w:val="center"/>
          </w:tcPr>
          <w:p w14:paraId="05420E81">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注：1、粒度、卫生指标不合格，产品到货结块，拒收处置。</w:t>
            </w:r>
          </w:p>
        </w:tc>
      </w:tr>
    </w:tbl>
    <w:p w14:paraId="66614788">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p>
    <w:p w14:paraId="0EE97FB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3、标签标识</w:t>
      </w:r>
    </w:p>
    <w:p w14:paraId="47F9FD33">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标签标识符合 GB10648-2013中相关要求。</w:t>
      </w:r>
    </w:p>
    <w:p w14:paraId="51B96927">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4、包装、储存、运输</w:t>
      </w:r>
    </w:p>
    <w:p w14:paraId="60D271B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执行 GB7300.801-2019中相关规定。</w:t>
      </w:r>
    </w:p>
    <w:p w14:paraId="4D2B2C50">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23424E5B">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78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2D59AF8C">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6909C93C">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46A009A">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BBD50FF">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AB377B6">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6F8F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53618A">
            <w:pPr>
              <w:rPr>
                <w:rFonts w:ascii="Arial"/>
                <w:sz w:val="21"/>
              </w:rPr>
            </w:pPr>
          </w:p>
        </w:tc>
        <w:tc>
          <w:tcPr>
            <w:tcW w:w="1623" w:type="dxa"/>
            <w:vAlign w:val="top"/>
          </w:tcPr>
          <w:p w14:paraId="1695E6E2">
            <w:pPr>
              <w:rPr>
                <w:rFonts w:ascii="Arial"/>
                <w:sz w:val="21"/>
              </w:rPr>
            </w:pPr>
          </w:p>
        </w:tc>
        <w:tc>
          <w:tcPr>
            <w:tcW w:w="1621" w:type="dxa"/>
            <w:vAlign w:val="top"/>
          </w:tcPr>
          <w:p w14:paraId="49A273D6">
            <w:pPr>
              <w:rPr>
                <w:rFonts w:ascii="Arial"/>
                <w:sz w:val="21"/>
              </w:rPr>
            </w:pPr>
          </w:p>
        </w:tc>
        <w:tc>
          <w:tcPr>
            <w:tcW w:w="1932" w:type="dxa"/>
            <w:vAlign w:val="top"/>
          </w:tcPr>
          <w:p w14:paraId="2F6A78A0">
            <w:pPr>
              <w:rPr>
                <w:rFonts w:ascii="Arial"/>
                <w:sz w:val="21"/>
              </w:rPr>
            </w:pPr>
          </w:p>
        </w:tc>
        <w:tc>
          <w:tcPr>
            <w:tcW w:w="1363" w:type="dxa"/>
            <w:vAlign w:val="top"/>
          </w:tcPr>
          <w:p w14:paraId="02B9C79F">
            <w:pPr>
              <w:rPr>
                <w:rFonts w:ascii="Arial"/>
                <w:sz w:val="21"/>
              </w:rPr>
            </w:pPr>
          </w:p>
        </w:tc>
      </w:tr>
      <w:tr w14:paraId="7E4F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1149B008">
            <w:pPr>
              <w:rPr>
                <w:rFonts w:ascii="Arial"/>
                <w:sz w:val="21"/>
              </w:rPr>
            </w:pPr>
          </w:p>
        </w:tc>
        <w:tc>
          <w:tcPr>
            <w:tcW w:w="1623" w:type="dxa"/>
            <w:vAlign w:val="top"/>
          </w:tcPr>
          <w:p w14:paraId="02BCF7B7">
            <w:pPr>
              <w:rPr>
                <w:rFonts w:ascii="Arial"/>
                <w:sz w:val="21"/>
              </w:rPr>
            </w:pPr>
          </w:p>
        </w:tc>
        <w:tc>
          <w:tcPr>
            <w:tcW w:w="1621" w:type="dxa"/>
            <w:vAlign w:val="top"/>
          </w:tcPr>
          <w:p w14:paraId="4F745223">
            <w:pPr>
              <w:rPr>
                <w:rFonts w:ascii="Arial"/>
                <w:sz w:val="21"/>
              </w:rPr>
            </w:pPr>
          </w:p>
        </w:tc>
        <w:tc>
          <w:tcPr>
            <w:tcW w:w="1932" w:type="dxa"/>
            <w:vAlign w:val="top"/>
          </w:tcPr>
          <w:p w14:paraId="1557C60A">
            <w:pPr>
              <w:rPr>
                <w:rFonts w:ascii="Arial"/>
                <w:sz w:val="21"/>
              </w:rPr>
            </w:pPr>
          </w:p>
        </w:tc>
        <w:tc>
          <w:tcPr>
            <w:tcW w:w="1363" w:type="dxa"/>
            <w:vAlign w:val="top"/>
          </w:tcPr>
          <w:p w14:paraId="6115DA2C">
            <w:pPr>
              <w:rPr>
                <w:rFonts w:ascii="Arial"/>
                <w:sz w:val="21"/>
              </w:rPr>
            </w:pPr>
          </w:p>
        </w:tc>
      </w:tr>
      <w:tr w14:paraId="2DC87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E97D644">
            <w:pPr>
              <w:rPr>
                <w:rFonts w:ascii="Arial"/>
                <w:sz w:val="21"/>
              </w:rPr>
            </w:pPr>
          </w:p>
        </w:tc>
        <w:tc>
          <w:tcPr>
            <w:tcW w:w="1623" w:type="dxa"/>
            <w:vAlign w:val="top"/>
          </w:tcPr>
          <w:p w14:paraId="6CFE2600">
            <w:pPr>
              <w:rPr>
                <w:rFonts w:ascii="Arial"/>
                <w:sz w:val="21"/>
              </w:rPr>
            </w:pPr>
          </w:p>
        </w:tc>
        <w:tc>
          <w:tcPr>
            <w:tcW w:w="1621" w:type="dxa"/>
            <w:vAlign w:val="top"/>
          </w:tcPr>
          <w:p w14:paraId="0CF1977E">
            <w:pPr>
              <w:rPr>
                <w:rFonts w:ascii="Arial"/>
                <w:sz w:val="21"/>
              </w:rPr>
            </w:pPr>
          </w:p>
        </w:tc>
        <w:tc>
          <w:tcPr>
            <w:tcW w:w="1932" w:type="dxa"/>
            <w:vAlign w:val="top"/>
          </w:tcPr>
          <w:p w14:paraId="3EA4422B">
            <w:pPr>
              <w:rPr>
                <w:rFonts w:ascii="Arial"/>
                <w:sz w:val="21"/>
              </w:rPr>
            </w:pPr>
          </w:p>
        </w:tc>
        <w:tc>
          <w:tcPr>
            <w:tcW w:w="1363" w:type="dxa"/>
            <w:vAlign w:val="top"/>
          </w:tcPr>
          <w:p w14:paraId="2ED555C4">
            <w:pPr>
              <w:rPr>
                <w:rFonts w:ascii="Arial"/>
                <w:sz w:val="21"/>
              </w:rPr>
            </w:pPr>
          </w:p>
        </w:tc>
      </w:tr>
      <w:tr w14:paraId="197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D40F6A5">
            <w:pPr>
              <w:rPr>
                <w:rFonts w:ascii="Arial"/>
                <w:sz w:val="21"/>
              </w:rPr>
            </w:pPr>
          </w:p>
        </w:tc>
        <w:tc>
          <w:tcPr>
            <w:tcW w:w="1623" w:type="dxa"/>
            <w:vAlign w:val="top"/>
          </w:tcPr>
          <w:p w14:paraId="021C0C85">
            <w:pPr>
              <w:rPr>
                <w:rFonts w:ascii="Arial"/>
                <w:sz w:val="21"/>
              </w:rPr>
            </w:pPr>
          </w:p>
        </w:tc>
        <w:tc>
          <w:tcPr>
            <w:tcW w:w="1621" w:type="dxa"/>
            <w:vAlign w:val="top"/>
          </w:tcPr>
          <w:p w14:paraId="28DB23FC">
            <w:pPr>
              <w:rPr>
                <w:rFonts w:ascii="Arial"/>
                <w:sz w:val="21"/>
              </w:rPr>
            </w:pPr>
          </w:p>
        </w:tc>
        <w:tc>
          <w:tcPr>
            <w:tcW w:w="1932" w:type="dxa"/>
            <w:vAlign w:val="top"/>
          </w:tcPr>
          <w:p w14:paraId="6D20FC55">
            <w:pPr>
              <w:rPr>
                <w:rFonts w:ascii="Arial"/>
                <w:sz w:val="21"/>
              </w:rPr>
            </w:pPr>
          </w:p>
        </w:tc>
        <w:tc>
          <w:tcPr>
            <w:tcW w:w="1363" w:type="dxa"/>
            <w:vAlign w:val="top"/>
          </w:tcPr>
          <w:p w14:paraId="2210A89D">
            <w:pPr>
              <w:rPr>
                <w:rFonts w:ascii="Arial"/>
                <w:sz w:val="21"/>
              </w:rPr>
            </w:pPr>
          </w:p>
        </w:tc>
      </w:tr>
      <w:tr w14:paraId="038F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25A06336">
            <w:pPr>
              <w:rPr>
                <w:rFonts w:ascii="Arial"/>
                <w:sz w:val="21"/>
              </w:rPr>
            </w:pPr>
          </w:p>
        </w:tc>
        <w:tc>
          <w:tcPr>
            <w:tcW w:w="1623" w:type="dxa"/>
            <w:vAlign w:val="top"/>
          </w:tcPr>
          <w:p w14:paraId="66A65820">
            <w:pPr>
              <w:rPr>
                <w:rFonts w:ascii="Arial"/>
                <w:sz w:val="21"/>
              </w:rPr>
            </w:pPr>
          </w:p>
        </w:tc>
        <w:tc>
          <w:tcPr>
            <w:tcW w:w="1621" w:type="dxa"/>
            <w:vAlign w:val="top"/>
          </w:tcPr>
          <w:p w14:paraId="6963077D">
            <w:pPr>
              <w:rPr>
                <w:rFonts w:ascii="Arial"/>
                <w:sz w:val="21"/>
              </w:rPr>
            </w:pPr>
          </w:p>
        </w:tc>
        <w:tc>
          <w:tcPr>
            <w:tcW w:w="1932" w:type="dxa"/>
            <w:vAlign w:val="top"/>
          </w:tcPr>
          <w:p w14:paraId="26809313">
            <w:pPr>
              <w:rPr>
                <w:rFonts w:ascii="Arial"/>
                <w:sz w:val="21"/>
              </w:rPr>
            </w:pPr>
          </w:p>
        </w:tc>
        <w:tc>
          <w:tcPr>
            <w:tcW w:w="1363" w:type="dxa"/>
            <w:vAlign w:val="top"/>
          </w:tcPr>
          <w:p w14:paraId="67E29E2E">
            <w:pPr>
              <w:rPr>
                <w:rFonts w:ascii="Arial"/>
                <w:sz w:val="21"/>
              </w:rPr>
            </w:pPr>
          </w:p>
        </w:tc>
      </w:tr>
      <w:tr w14:paraId="2360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4D0C2ED4">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611E088D">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rPr>
    </w:lvl>
  </w:abstractNum>
  <w:abstractNum w:abstractNumId="2">
    <w:nsid w:val="6A87ED74"/>
    <w:multiLevelType w:val="singleLevel"/>
    <w:tmpl w:val="6A87ED74"/>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78925D1"/>
    <w:rsid w:val="097018D1"/>
    <w:rsid w:val="0D3F4AE8"/>
    <w:rsid w:val="0DD3100C"/>
    <w:rsid w:val="11710BAD"/>
    <w:rsid w:val="175214DB"/>
    <w:rsid w:val="1CC45546"/>
    <w:rsid w:val="1DCC22E0"/>
    <w:rsid w:val="1F135B57"/>
    <w:rsid w:val="20C560FB"/>
    <w:rsid w:val="22887589"/>
    <w:rsid w:val="24A019E5"/>
    <w:rsid w:val="27303866"/>
    <w:rsid w:val="2A441B0B"/>
    <w:rsid w:val="321E4159"/>
    <w:rsid w:val="3434782F"/>
    <w:rsid w:val="385C0B47"/>
    <w:rsid w:val="3E746B53"/>
    <w:rsid w:val="40081B38"/>
    <w:rsid w:val="40C655EA"/>
    <w:rsid w:val="43881600"/>
    <w:rsid w:val="4445400D"/>
    <w:rsid w:val="458C28C6"/>
    <w:rsid w:val="47D91028"/>
    <w:rsid w:val="4E864704"/>
    <w:rsid w:val="53252A3D"/>
    <w:rsid w:val="54DF338E"/>
    <w:rsid w:val="5767239A"/>
    <w:rsid w:val="59270DD1"/>
    <w:rsid w:val="5E711347"/>
    <w:rsid w:val="5E9577E4"/>
    <w:rsid w:val="631725C7"/>
    <w:rsid w:val="69D7130C"/>
    <w:rsid w:val="6B6D4056"/>
    <w:rsid w:val="6E846E3A"/>
    <w:rsid w:val="707B5D4B"/>
    <w:rsid w:val="72D8479F"/>
    <w:rsid w:val="72F32737"/>
    <w:rsid w:val="74CC105E"/>
    <w:rsid w:val="773C3348"/>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1943</Words>
  <Characters>2162</Characters>
  <TotalTime>2</TotalTime>
  <ScaleCrop>false</ScaleCrop>
  <LinksUpToDate>false</LinksUpToDate>
  <CharactersWithSpaces>3175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2025-09-20T01:52:12Z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